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673A" w14:textId="34FC4EC9" w:rsidR="00482EBF" w:rsidRP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40"/>
          <w:szCs w:val="40"/>
          <w:lang w:eastAsia="cs-CZ"/>
        </w:rPr>
      </w:pPr>
      <w:r w:rsidRPr="00482EBF">
        <w:rPr>
          <w:rFonts w:ascii="Times New Roman" w:eastAsia="Times New Roman" w:hAnsi="Times New Roman" w:cs="Times New Roman"/>
          <w:b/>
          <w:bCs/>
          <w:color w:val="000000"/>
          <w:sz w:val="40"/>
          <w:szCs w:val="40"/>
          <w:lang w:eastAsia="cs-CZ"/>
        </w:rPr>
        <w:t>Přehled opatření od 17.05.2021 ve zkratce</w:t>
      </w:r>
      <w:r>
        <w:rPr>
          <w:rFonts w:ascii="Times New Roman" w:eastAsia="Times New Roman" w:hAnsi="Times New Roman" w:cs="Times New Roman"/>
          <w:b/>
          <w:bCs/>
          <w:color w:val="000000"/>
          <w:sz w:val="40"/>
          <w:szCs w:val="40"/>
          <w:lang w:eastAsia="cs-CZ"/>
        </w:rPr>
        <w:t>.</w:t>
      </w:r>
    </w:p>
    <w:p w14:paraId="6225E8F0" w14:textId="77777777" w:rsidR="00482EBF" w:rsidRP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9"/>
          <w:szCs w:val="29"/>
          <w:lang w:eastAsia="cs-CZ"/>
        </w:rPr>
      </w:pPr>
    </w:p>
    <w:p w14:paraId="61A3D324" w14:textId="77777777" w:rsidR="00482EBF" w:rsidRP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9"/>
          <w:szCs w:val="29"/>
          <w:lang w:eastAsia="cs-CZ"/>
        </w:rPr>
      </w:pPr>
    </w:p>
    <w:p w14:paraId="787D2F00" w14:textId="63662B9B" w:rsidR="00482EBF" w:rsidRP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r w:rsidRPr="00482EBF">
        <w:rPr>
          <w:rFonts w:ascii="Times New Roman" w:eastAsia="Times New Roman" w:hAnsi="Times New Roman" w:cs="Times New Roman"/>
          <w:b/>
          <w:bCs/>
          <w:color w:val="000000"/>
          <w:sz w:val="28"/>
          <w:szCs w:val="28"/>
          <w:lang w:eastAsia="cs-CZ"/>
        </w:rPr>
        <w:t>Školy</w:t>
      </w:r>
    </w:p>
    <w:p w14:paraId="75811226" w14:textId="77777777" w:rsidR="00482EBF" w:rsidRPr="00482EBF" w:rsidRDefault="00482EBF" w:rsidP="00482EBF">
      <w:pPr>
        <w:numPr>
          <w:ilvl w:val="0"/>
          <w:numId w:val="1"/>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K normálnímu režimu výuky ve škole bez rotací se vrací první stupeň základních škol v celé zemi a druhý stupeň ZŠ a nižších ročníků víceletých gymnázií v krajích s lepší epidemickou situací, tedy v Královéhradeckém, Karlovarském, Plzeňském, Středočeském, Libereckém a Pardubickém kraji a v Praze.</w:t>
      </w:r>
    </w:p>
    <w:p w14:paraId="73A24572" w14:textId="77777777" w:rsidR="00482EBF" w:rsidRPr="00482EBF" w:rsidRDefault="00482EBF" w:rsidP="00482EBF">
      <w:pPr>
        <w:numPr>
          <w:ilvl w:val="0"/>
          <w:numId w:val="2"/>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Na druhém stupni v celém Česku má skončit rotační výuka od 24. května, pokud to vývoj epidemie dovolí. Ke stejnému datu by měla opět začít bez střídání i teoretická výuka na středních školách.</w:t>
      </w:r>
    </w:p>
    <w:p w14:paraId="3555788A" w14:textId="77777777" w:rsid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p>
    <w:p w14:paraId="334F1A2E" w14:textId="2059EFE9" w:rsidR="00482EBF" w:rsidRP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r w:rsidRPr="00482EBF">
        <w:rPr>
          <w:rFonts w:ascii="Times New Roman" w:eastAsia="Times New Roman" w:hAnsi="Times New Roman" w:cs="Times New Roman"/>
          <w:b/>
          <w:bCs/>
          <w:color w:val="000000"/>
          <w:sz w:val="28"/>
          <w:szCs w:val="28"/>
          <w:lang w:eastAsia="cs-CZ"/>
        </w:rPr>
        <w:t>Hospody a restaurace</w:t>
      </w:r>
    </w:p>
    <w:p w14:paraId="7CAC229C" w14:textId="77777777" w:rsidR="00482EBF" w:rsidRPr="00482EBF" w:rsidRDefault="00482EBF" w:rsidP="00482EBF">
      <w:pPr>
        <w:numPr>
          <w:ilvl w:val="0"/>
          <w:numId w:val="3"/>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Otevřeny mohou být od pondělí 17. května zahrádky restaurací, ale pouze v čase od 6:00 do 21:59. Lidé budou moci využít toalet ve vnitřních prostorách provozovny.</w:t>
      </w:r>
    </w:p>
    <w:p w14:paraId="72B8BAF2" w14:textId="77777777" w:rsidR="00482EBF" w:rsidRPr="00482EBF" w:rsidRDefault="00482EBF" w:rsidP="00482EBF">
      <w:pPr>
        <w:numPr>
          <w:ilvl w:val="0"/>
          <w:numId w:val="4"/>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Hosté musí být testovaní, očkovaní nebo budou muset mít za sebou covid-19, který prodělali v posledních 90 dnech. PCR test může být starý nejvýše týden, antigenní tři dny. Zodpovědnost má být podle vlády na zákaznících, doklad budou muset podle představitelů vlády předložit případné kontrole ze strany policie či hygieniků.</w:t>
      </w:r>
    </w:p>
    <w:p w14:paraId="33E8D4EB" w14:textId="77777777" w:rsidR="00482EBF" w:rsidRPr="00482EBF" w:rsidRDefault="00482EBF" w:rsidP="00482EBF">
      <w:pPr>
        <w:numPr>
          <w:ilvl w:val="0"/>
          <w:numId w:val="5"/>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Zákazníci jsou usazeni tak, že mezi nimi je odstup alespoň 1,5 metru, s výjimkou zákazníků sedících u jednoho stolu. U jednoho stolu mohou sedět nejvýše čtyři zákazníci, výjimkou jsou osoby ze společné domácnosti.</w:t>
      </w:r>
    </w:p>
    <w:p w14:paraId="063D10B8" w14:textId="77777777" w:rsidR="00482EBF" w:rsidRPr="00482EBF" w:rsidRDefault="00482EBF" w:rsidP="00482EBF">
      <w:pPr>
        <w:numPr>
          <w:ilvl w:val="0"/>
          <w:numId w:val="6"/>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Za regulovaných podmínek mohou fungovat také provozovny stravovacích služeb, které neslouží pro veřejnost - např. zaměstnanecké stravování nebo školní stravování.</w:t>
      </w:r>
    </w:p>
    <w:p w14:paraId="6FB7120C" w14:textId="77777777" w:rsidR="00482EBF" w:rsidRPr="00482EBF" w:rsidRDefault="00482EBF" w:rsidP="00482EBF">
      <w:pPr>
        <w:numPr>
          <w:ilvl w:val="0"/>
          <w:numId w:val="7"/>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Fungovat mohou i hotelové restaurace, smějí ale poskytovat stravování pouze ubytovaným osobám, a to pouze v čase mezi 06:00 hod. a 21:59 hod.</w:t>
      </w:r>
    </w:p>
    <w:p w14:paraId="70CA3463" w14:textId="77777777" w:rsid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p>
    <w:p w14:paraId="6672E4D1" w14:textId="2AFE1722" w:rsidR="00482EBF" w:rsidRP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r w:rsidRPr="00482EBF">
        <w:rPr>
          <w:rFonts w:ascii="Times New Roman" w:eastAsia="Times New Roman" w:hAnsi="Times New Roman" w:cs="Times New Roman"/>
          <w:b/>
          <w:bCs/>
          <w:color w:val="000000"/>
          <w:sz w:val="28"/>
          <w:szCs w:val="28"/>
          <w:lang w:eastAsia="cs-CZ"/>
        </w:rPr>
        <w:t>Kultura, zoo, návštěva sportovních akcí</w:t>
      </w:r>
    </w:p>
    <w:p w14:paraId="60C1126C" w14:textId="77777777" w:rsidR="00482EBF" w:rsidRPr="00482EBF" w:rsidRDefault="00482EBF" w:rsidP="00482EBF">
      <w:pPr>
        <w:numPr>
          <w:ilvl w:val="0"/>
          <w:numId w:val="8"/>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Povoleny jsou návštěvy venkovních koncertů či divadel s tím, že maximální účast je 700 diváků, přičemž maximální přípustný počet přítomných diváků nesmí být vyšší než 50 procent celkové kapacity míst k sezení. Totéž platí i pro návštěvy sportovních akcí.</w:t>
      </w:r>
    </w:p>
    <w:p w14:paraId="69EC93AC" w14:textId="77777777" w:rsidR="00482EBF" w:rsidRPr="00482EBF" w:rsidRDefault="00482EBF" w:rsidP="00482EBF">
      <w:pPr>
        <w:numPr>
          <w:ilvl w:val="0"/>
          <w:numId w:val="9"/>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Akce uvnitř možné nejsou.</w:t>
      </w:r>
    </w:p>
    <w:p w14:paraId="33EA108A" w14:textId="77777777" w:rsidR="00482EBF" w:rsidRPr="00482EBF" w:rsidRDefault="00482EBF" w:rsidP="00482EBF">
      <w:pPr>
        <w:numPr>
          <w:ilvl w:val="0"/>
          <w:numId w:val="10"/>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Diváci musejí být s výjimkou osob ze společné domácnosti usazeni tak, že mezi nimi bude vždy ponecháno nejméně jedno neobsazené sedadlo. Musejí mít také po celou dobu respirátor.</w:t>
      </w:r>
    </w:p>
    <w:p w14:paraId="35895CEB" w14:textId="77777777" w:rsidR="00482EBF" w:rsidRPr="00482EBF" w:rsidRDefault="00482EBF" w:rsidP="00482EBF">
      <w:pPr>
        <w:numPr>
          <w:ilvl w:val="0"/>
          <w:numId w:val="11"/>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lastRenderedPageBreak/>
        <w:t xml:space="preserve">Podmínkou je absolvování testu na </w:t>
      </w:r>
      <w:proofErr w:type="spellStart"/>
      <w:r w:rsidRPr="00482EBF">
        <w:rPr>
          <w:rFonts w:ascii="Times New Roman" w:eastAsia="Times New Roman" w:hAnsi="Times New Roman" w:cs="Times New Roman"/>
          <w:color w:val="000000"/>
          <w:sz w:val="28"/>
          <w:szCs w:val="28"/>
          <w:bdr w:val="none" w:sz="0" w:space="0" w:color="auto" w:frame="1"/>
          <w:lang w:eastAsia="cs-CZ"/>
        </w:rPr>
        <w:t>koronavirus</w:t>
      </w:r>
      <w:proofErr w:type="spellEnd"/>
      <w:r w:rsidRPr="00482EBF">
        <w:rPr>
          <w:rFonts w:ascii="Times New Roman" w:eastAsia="Times New Roman" w:hAnsi="Times New Roman" w:cs="Times New Roman"/>
          <w:color w:val="000000"/>
          <w:sz w:val="28"/>
          <w:szCs w:val="28"/>
          <w:bdr w:val="none" w:sz="0" w:space="0" w:color="auto" w:frame="1"/>
          <w:lang w:eastAsia="cs-CZ"/>
        </w:rPr>
        <w:t>, odstup nejméně 14 dnů od očkování nebo nejvýše 90 dnů od prodělání nemoci covid-19.</w:t>
      </w:r>
    </w:p>
    <w:p w14:paraId="71BE7497" w14:textId="77777777" w:rsidR="00482EBF" w:rsidRPr="00482EBF" w:rsidRDefault="00482EBF" w:rsidP="00482EBF">
      <w:pPr>
        <w:numPr>
          <w:ilvl w:val="0"/>
          <w:numId w:val="12"/>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Zakazuje se konzumace jídla a nápojů v hledišti.</w:t>
      </w:r>
    </w:p>
    <w:p w14:paraId="328BC12A" w14:textId="77777777" w:rsidR="00482EBF" w:rsidRPr="00482EBF" w:rsidRDefault="00482EBF" w:rsidP="00482EBF">
      <w:pPr>
        <w:numPr>
          <w:ilvl w:val="0"/>
          <w:numId w:val="13"/>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Vzdálenost diváků od jeviště nebo sportovní plochy musí být nejméně dva metry.</w:t>
      </w:r>
    </w:p>
    <w:p w14:paraId="367E28EC" w14:textId="77777777" w:rsidR="00482EBF" w:rsidRPr="00482EBF" w:rsidRDefault="00482EBF" w:rsidP="00482EBF">
      <w:pPr>
        <w:numPr>
          <w:ilvl w:val="0"/>
          <w:numId w:val="14"/>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Omezení platí i pro účinkující. „Je-li součástí scénického díla zpěv, omezuje se počet účinkujících na jevišti nebo zkušebně tak, že celkový počet účinkujících nesmí být vyšší než počet metrů čtverečních celkové podlahové plochy jeviště nebo zkušebny dělený čtyřmi, u hráčů všech nástrojových skupin je nutné dodržovat rozestupy alespoň 1,2 metru,“ píše se ve vydaném opatření.</w:t>
      </w:r>
    </w:p>
    <w:p w14:paraId="20F4B636" w14:textId="77777777" w:rsidR="00482EBF" w:rsidRPr="00482EBF" w:rsidRDefault="00482EBF" w:rsidP="00482EBF">
      <w:pPr>
        <w:numPr>
          <w:ilvl w:val="0"/>
          <w:numId w:val="15"/>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Počínaje pondělím bude moci více lidí navštívit i zoologické či botanické zahrady či arboreta. Povolená naplněnost venkovních prostor se zvedne z 20 na 50 procent, vnitřní pavilony zůstávají pro veřejnost uzavřené.</w:t>
      </w:r>
    </w:p>
    <w:p w14:paraId="372C6B9D" w14:textId="77777777" w:rsid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p>
    <w:p w14:paraId="4B9C98CA" w14:textId="1848AD48" w:rsidR="00482EBF" w:rsidRP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r w:rsidRPr="00482EBF">
        <w:rPr>
          <w:rFonts w:ascii="Times New Roman" w:eastAsia="Times New Roman" w:hAnsi="Times New Roman" w:cs="Times New Roman"/>
          <w:b/>
          <w:bCs/>
          <w:color w:val="000000"/>
          <w:sz w:val="28"/>
          <w:szCs w:val="28"/>
          <w:lang w:eastAsia="cs-CZ"/>
        </w:rPr>
        <w:t>Vnitřní sportoviště, posilovny</w:t>
      </w:r>
    </w:p>
    <w:p w14:paraId="519E5A4B" w14:textId="77777777" w:rsidR="00482EBF" w:rsidRPr="00482EBF" w:rsidRDefault="00482EBF" w:rsidP="00482EBF">
      <w:pPr>
        <w:numPr>
          <w:ilvl w:val="0"/>
          <w:numId w:val="16"/>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Povolený je provoz fitness center, posiloven a dalších vnitřních sportovišť za speciálního režimu.</w:t>
      </w:r>
    </w:p>
    <w:p w14:paraId="42FAD214" w14:textId="77777777" w:rsidR="00482EBF" w:rsidRPr="00482EBF" w:rsidRDefault="00482EBF" w:rsidP="00482EBF">
      <w:pPr>
        <w:numPr>
          <w:ilvl w:val="0"/>
          <w:numId w:val="17"/>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 xml:space="preserve">Platí limit jednoho návštěvníka na 15 metrů čtverečních vnitřní plochy, ve skupině budou smět být maximálně dva lidé a nejvýše 10 lidí na sportovišti (podle premiéra Babiše by se měl tento limit dále zvedat co </w:t>
      </w:r>
      <w:proofErr w:type="gramStart"/>
      <w:r w:rsidRPr="00482EBF">
        <w:rPr>
          <w:rFonts w:ascii="Times New Roman" w:eastAsia="Times New Roman" w:hAnsi="Times New Roman" w:cs="Times New Roman"/>
          <w:color w:val="000000"/>
          <w:sz w:val="28"/>
          <w:szCs w:val="28"/>
          <w:bdr w:val="none" w:sz="0" w:space="0" w:color="auto" w:frame="1"/>
          <w:lang w:eastAsia="cs-CZ"/>
        </w:rPr>
        <w:t>týden - nejprve</w:t>
      </w:r>
      <w:proofErr w:type="gramEnd"/>
      <w:r w:rsidRPr="00482EBF">
        <w:rPr>
          <w:rFonts w:ascii="Times New Roman" w:eastAsia="Times New Roman" w:hAnsi="Times New Roman" w:cs="Times New Roman"/>
          <w:color w:val="000000"/>
          <w:sz w:val="28"/>
          <w:szCs w:val="28"/>
          <w:bdr w:val="none" w:sz="0" w:space="0" w:color="auto" w:frame="1"/>
          <w:lang w:eastAsia="cs-CZ"/>
        </w:rPr>
        <w:t xml:space="preserve"> na 30 a pak na 100 lidí). Nutné je dodržovat aspoň dvoumetrové rozestupy.</w:t>
      </w:r>
    </w:p>
    <w:p w14:paraId="2B5A1326" w14:textId="77777777" w:rsidR="00482EBF" w:rsidRPr="00482EBF" w:rsidRDefault="00482EBF" w:rsidP="00482EBF">
      <w:pPr>
        <w:numPr>
          <w:ilvl w:val="0"/>
          <w:numId w:val="18"/>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 xml:space="preserve">Lidé se budou muset prokázat negativním testem na </w:t>
      </w:r>
      <w:proofErr w:type="spellStart"/>
      <w:r w:rsidRPr="00482EBF">
        <w:rPr>
          <w:rFonts w:ascii="Times New Roman" w:eastAsia="Times New Roman" w:hAnsi="Times New Roman" w:cs="Times New Roman"/>
          <w:color w:val="000000"/>
          <w:sz w:val="28"/>
          <w:szCs w:val="28"/>
          <w:bdr w:val="none" w:sz="0" w:space="0" w:color="auto" w:frame="1"/>
          <w:lang w:eastAsia="cs-CZ"/>
        </w:rPr>
        <w:t>koronavirus</w:t>
      </w:r>
      <w:proofErr w:type="spellEnd"/>
      <w:r w:rsidRPr="00482EBF">
        <w:rPr>
          <w:rFonts w:ascii="Times New Roman" w:eastAsia="Times New Roman" w:hAnsi="Times New Roman" w:cs="Times New Roman"/>
          <w:color w:val="000000"/>
          <w:sz w:val="28"/>
          <w:szCs w:val="28"/>
          <w:bdr w:val="none" w:sz="0" w:space="0" w:color="auto" w:frame="1"/>
          <w:lang w:eastAsia="cs-CZ"/>
        </w:rPr>
        <w:t xml:space="preserve">, certifikátem o očkování nebo dokladem o prodělání </w:t>
      </w:r>
      <w:proofErr w:type="spellStart"/>
      <w:r w:rsidRPr="00482EBF">
        <w:rPr>
          <w:rFonts w:ascii="Times New Roman" w:eastAsia="Times New Roman" w:hAnsi="Times New Roman" w:cs="Times New Roman"/>
          <w:color w:val="000000"/>
          <w:sz w:val="28"/>
          <w:szCs w:val="28"/>
          <w:bdr w:val="none" w:sz="0" w:space="0" w:color="auto" w:frame="1"/>
          <w:lang w:eastAsia="cs-CZ"/>
        </w:rPr>
        <w:t>koronaviru</w:t>
      </w:r>
      <w:proofErr w:type="spellEnd"/>
      <w:r w:rsidRPr="00482EBF">
        <w:rPr>
          <w:rFonts w:ascii="Times New Roman" w:eastAsia="Times New Roman" w:hAnsi="Times New Roman" w:cs="Times New Roman"/>
          <w:color w:val="000000"/>
          <w:sz w:val="28"/>
          <w:szCs w:val="28"/>
          <w:bdr w:val="none" w:sz="0" w:space="0" w:color="auto" w:frame="1"/>
          <w:lang w:eastAsia="cs-CZ"/>
        </w:rPr>
        <w:t>.</w:t>
      </w:r>
    </w:p>
    <w:p w14:paraId="399D5007" w14:textId="77777777" w:rsidR="00482EBF" w:rsidRPr="00482EBF" w:rsidRDefault="00482EBF" w:rsidP="00482EBF">
      <w:pPr>
        <w:numPr>
          <w:ilvl w:val="0"/>
          <w:numId w:val="19"/>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Návštěvníci sportovišť nebudou smět používat šatny ani sprchy.</w:t>
      </w:r>
    </w:p>
    <w:p w14:paraId="6313F15C" w14:textId="77777777" w:rsidR="00482EBF" w:rsidRPr="00482EBF" w:rsidRDefault="00482EBF" w:rsidP="00482EBF">
      <w:pPr>
        <w:numPr>
          <w:ilvl w:val="0"/>
          <w:numId w:val="20"/>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Bazény, wellness, sauny a solné jeskyně zůstávají pro veřejnost uzavřené.</w:t>
      </w:r>
    </w:p>
    <w:p w14:paraId="4D7BFD74" w14:textId="77777777" w:rsid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p>
    <w:p w14:paraId="0F1F47F1" w14:textId="3E293250" w:rsidR="00482EBF" w:rsidRP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r w:rsidRPr="00482EBF">
        <w:rPr>
          <w:rFonts w:ascii="Times New Roman" w:eastAsia="Times New Roman" w:hAnsi="Times New Roman" w:cs="Times New Roman"/>
          <w:b/>
          <w:bCs/>
          <w:color w:val="000000"/>
          <w:sz w:val="28"/>
          <w:szCs w:val="28"/>
          <w:lang w:eastAsia="cs-CZ"/>
        </w:rPr>
        <w:t>Návštěvy v nemocnicích</w:t>
      </w:r>
    </w:p>
    <w:p w14:paraId="3E17A325" w14:textId="77777777" w:rsidR="00482EBF" w:rsidRPr="00482EBF" w:rsidRDefault="00482EBF" w:rsidP="00482EBF">
      <w:pPr>
        <w:numPr>
          <w:ilvl w:val="0"/>
          <w:numId w:val="21"/>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V nemocnicích a sociálních zařízeních budou od pondělí znovu za dodržení hygienických pravidel povoleny návštěvy. U lůžek akutní péče byly zakázány od konce ledna. Výjimkou byly porody, návštěvy u dětí nebo v hospicích.</w:t>
      </w:r>
    </w:p>
    <w:p w14:paraId="178DC647" w14:textId="77777777" w:rsid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p>
    <w:p w14:paraId="2BDA9DEE" w14:textId="28B7358A" w:rsidR="00482EBF" w:rsidRPr="00482EBF" w:rsidRDefault="00482EBF" w:rsidP="00482EBF">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cs-CZ"/>
        </w:rPr>
      </w:pPr>
      <w:r w:rsidRPr="00482EBF">
        <w:rPr>
          <w:rFonts w:ascii="Times New Roman" w:eastAsia="Times New Roman" w:hAnsi="Times New Roman" w:cs="Times New Roman"/>
          <w:b/>
          <w:bCs/>
          <w:color w:val="000000"/>
          <w:sz w:val="28"/>
          <w:szCs w:val="28"/>
          <w:lang w:eastAsia="cs-CZ"/>
        </w:rPr>
        <w:t>Očkování</w:t>
      </w:r>
    </w:p>
    <w:p w14:paraId="7CE984FB" w14:textId="77777777" w:rsidR="00482EBF" w:rsidRPr="00482EBF" w:rsidRDefault="00482EBF" w:rsidP="00482EBF">
      <w:pPr>
        <w:numPr>
          <w:ilvl w:val="0"/>
          <w:numId w:val="22"/>
        </w:numPr>
        <w:shd w:val="clear" w:color="auto" w:fill="FFFFFF"/>
        <w:spacing w:after="0" w:line="240" w:lineRule="auto"/>
        <w:textAlignment w:val="baseline"/>
        <w:rPr>
          <w:rFonts w:ascii="Times New Roman" w:eastAsia="Times New Roman" w:hAnsi="Times New Roman" w:cs="Times New Roman"/>
          <w:color w:val="999999"/>
          <w:sz w:val="28"/>
          <w:szCs w:val="28"/>
          <w:lang w:eastAsia="cs-CZ"/>
        </w:rPr>
      </w:pPr>
      <w:r w:rsidRPr="00482EBF">
        <w:rPr>
          <w:rFonts w:ascii="Times New Roman" w:eastAsia="Times New Roman" w:hAnsi="Times New Roman" w:cs="Times New Roman"/>
          <w:color w:val="000000"/>
          <w:sz w:val="28"/>
          <w:szCs w:val="28"/>
          <w:bdr w:val="none" w:sz="0" w:space="0" w:color="auto" w:frame="1"/>
          <w:lang w:eastAsia="cs-CZ"/>
        </w:rPr>
        <w:t>K očkování proti covidu-19 se mohou od pondělí hlásit všichni lidé starší 40 let. V této věkové skupině jich v ČR žije více než 923 000. Dosud jim mohli zdravotníci vakcínu podat jen v případě, že pracovali ve školství, zdravotnictví, sociálních službách nebo kritické infrastruktuře nebo měli nějakou z chronických nemocí. Dokončené očkování mělo v neděli v tomto věku zhruba 60 tisíc z nich.</w:t>
      </w:r>
    </w:p>
    <w:p w14:paraId="22A8181B" w14:textId="77777777" w:rsidR="00A04F93" w:rsidRPr="00482EBF" w:rsidRDefault="00482EBF">
      <w:pPr>
        <w:rPr>
          <w:rFonts w:ascii="Times New Roman" w:hAnsi="Times New Roman" w:cs="Times New Roman"/>
          <w:sz w:val="28"/>
          <w:szCs w:val="28"/>
        </w:rPr>
      </w:pPr>
    </w:p>
    <w:sectPr w:rsidR="00A04F93" w:rsidRPr="00482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11E"/>
    <w:multiLevelType w:val="multilevel"/>
    <w:tmpl w:val="7AA4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92AD4"/>
    <w:multiLevelType w:val="multilevel"/>
    <w:tmpl w:val="94BC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43B7E"/>
    <w:multiLevelType w:val="multilevel"/>
    <w:tmpl w:val="2652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D15A9"/>
    <w:multiLevelType w:val="multilevel"/>
    <w:tmpl w:val="4A7C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7425C"/>
    <w:multiLevelType w:val="multilevel"/>
    <w:tmpl w:val="2E0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E7FF5"/>
    <w:multiLevelType w:val="multilevel"/>
    <w:tmpl w:val="3EAA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1009C"/>
    <w:multiLevelType w:val="multilevel"/>
    <w:tmpl w:val="009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885870"/>
    <w:multiLevelType w:val="multilevel"/>
    <w:tmpl w:val="0BF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513615"/>
    <w:multiLevelType w:val="multilevel"/>
    <w:tmpl w:val="167C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E042C2"/>
    <w:multiLevelType w:val="multilevel"/>
    <w:tmpl w:val="A79A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0244F3"/>
    <w:multiLevelType w:val="multilevel"/>
    <w:tmpl w:val="C372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580C2F"/>
    <w:multiLevelType w:val="multilevel"/>
    <w:tmpl w:val="0F4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8107D1"/>
    <w:multiLevelType w:val="multilevel"/>
    <w:tmpl w:val="37E0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62487E"/>
    <w:multiLevelType w:val="multilevel"/>
    <w:tmpl w:val="8EE8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C1199D"/>
    <w:multiLevelType w:val="multilevel"/>
    <w:tmpl w:val="8456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3814CE"/>
    <w:multiLevelType w:val="multilevel"/>
    <w:tmpl w:val="C7F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6F60D7"/>
    <w:multiLevelType w:val="multilevel"/>
    <w:tmpl w:val="C0C8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D23BE0"/>
    <w:multiLevelType w:val="multilevel"/>
    <w:tmpl w:val="8774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A07BA7"/>
    <w:multiLevelType w:val="multilevel"/>
    <w:tmpl w:val="0EC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794E65"/>
    <w:multiLevelType w:val="multilevel"/>
    <w:tmpl w:val="59D6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D34465"/>
    <w:multiLevelType w:val="multilevel"/>
    <w:tmpl w:val="3E30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9C4CAB"/>
    <w:multiLevelType w:val="multilevel"/>
    <w:tmpl w:val="E1B0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17"/>
  </w:num>
  <w:num w:numId="4">
    <w:abstractNumId w:val="4"/>
  </w:num>
  <w:num w:numId="5">
    <w:abstractNumId w:val="9"/>
  </w:num>
  <w:num w:numId="6">
    <w:abstractNumId w:val="10"/>
  </w:num>
  <w:num w:numId="7">
    <w:abstractNumId w:val="15"/>
  </w:num>
  <w:num w:numId="8">
    <w:abstractNumId w:val="13"/>
  </w:num>
  <w:num w:numId="9">
    <w:abstractNumId w:val="8"/>
  </w:num>
  <w:num w:numId="10">
    <w:abstractNumId w:val="21"/>
  </w:num>
  <w:num w:numId="11">
    <w:abstractNumId w:val="11"/>
  </w:num>
  <w:num w:numId="12">
    <w:abstractNumId w:val="6"/>
  </w:num>
  <w:num w:numId="13">
    <w:abstractNumId w:val="5"/>
  </w:num>
  <w:num w:numId="14">
    <w:abstractNumId w:val="7"/>
  </w:num>
  <w:num w:numId="15">
    <w:abstractNumId w:val="14"/>
  </w:num>
  <w:num w:numId="16">
    <w:abstractNumId w:val="20"/>
  </w:num>
  <w:num w:numId="17">
    <w:abstractNumId w:val="1"/>
  </w:num>
  <w:num w:numId="18">
    <w:abstractNumId w:val="2"/>
  </w:num>
  <w:num w:numId="19">
    <w:abstractNumId w:val="19"/>
  </w:num>
  <w:num w:numId="20">
    <w:abstractNumId w:val="18"/>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BF"/>
    <w:rsid w:val="00482EBF"/>
    <w:rsid w:val="009E511E"/>
    <w:rsid w:val="00EB0A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0587"/>
  <w15:chartTrackingRefBased/>
  <w15:docId w15:val="{52D8863A-5866-48C4-B166-5239E895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3175">
      <w:bodyDiv w:val="1"/>
      <w:marLeft w:val="0"/>
      <w:marRight w:val="0"/>
      <w:marTop w:val="0"/>
      <w:marBottom w:val="0"/>
      <w:divBdr>
        <w:top w:val="none" w:sz="0" w:space="0" w:color="auto"/>
        <w:left w:val="none" w:sz="0" w:space="0" w:color="auto"/>
        <w:bottom w:val="none" w:sz="0" w:space="0" w:color="auto"/>
        <w:right w:val="none" w:sz="0" w:space="0" w:color="auto"/>
      </w:divBdr>
      <w:divsChild>
        <w:div w:id="1259753523">
          <w:marLeft w:val="0"/>
          <w:marRight w:val="0"/>
          <w:marTop w:val="0"/>
          <w:marBottom w:val="0"/>
          <w:divBdr>
            <w:top w:val="none" w:sz="0" w:space="0" w:color="auto"/>
            <w:left w:val="none" w:sz="0" w:space="0" w:color="auto"/>
            <w:bottom w:val="none" w:sz="0" w:space="0" w:color="auto"/>
            <w:right w:val="none" w:sz="0" w:space="0" w:color="auto"/>
          </w:divBdr>
        </w:div>
        <w:div w:id="244532581">
          <w:marLeft w:val="0"/>
          <w:marRight w:val="0"/>
          <w:marTop w:val="0"/>
          <w:marBottom w:val="0"/>
          <w:divBdr>
            <w:top w:val="none" w:sz="0" w:space="0" w:color="auto"/>
            <w:left w:val="none" w:sz="0" w:space="0" w:color="auto"/>
            <w:bottom w:val="none" w:sz="0" w:space="0" w:color="auto"/>
            <w:right w:val="none" w:sz="0" w:space="0" w:color="auto"/>
          </w:divBdr>
          <w:divsChild>
            <w:div w:id="1486628704">
              <w:marLeft w:val="0"/>
              <w:marRight w:val="0"/>
              <w:marTop w:val="0"/>
              <w:marBottom w:val="300"/>
              <w:divBdr>
                <w:top w:val="none" w:sz="0" w:space="12" w:color="auto"/>
                <w:left w:val="none" w:sz="0" w:space="18" w:color="auto"/>
                <w:bottom w:val="single" w:sz="6" w:space="9" w:color="D0D0D0"/>
                <w:right w:val="none" w:sz="0" w:space="18" w:color="auto"/>
              </w:divBdr>
              <w:divsChild>
                <w:div w:id="1306204130">
                  <w:marLeft w:val="0"/>
                  <w:marRight w:val="0"/>
                  <w:marTop w:val="0"/>
                  <w:marBottom w:val="0"/>
                  <w:divBdr>
                    <w:top w:val="none" w:sz="0" w:space="0" w:color="auto"/>
                    <w:left w:val="none" w:sz="0" w:space="0" w:color="auto"/>
                    <w:bottom w:val="none" w:sz="0" w:space="0" w:color="auto"/>
                    <w:right w:val="none" w:sz="0" w:space="0" w:color="auto"/>
                  </w:divBdr>
                </w:div>
                <w:div w:id="961110802">
                  <w:marLeft w:val="0"/>
                  <w:marRight w:val="0"/>
                  <w:marTop w:val="0"/>
                  <w:marBottom w:val="0"/>
                  <w:divBdr>
                    <w:top w:val="none" w:sz="0" w:space="0" w:color="auto"/>
                    <w:left w:val="none" w:sz="0" w:space="0" w:color="auto"/>
                    <w:bottom w:val="none" w:sz="0" w:space="0" w:color="auto"/>
                    <w:right w:val="none" w:sz="0" w:space="0" w:color="auto"/>
                  </w:divBdr>
                  <w:divsChild>
                    <w:div w:id="981690293">
                      <w:marLeft w:val="0"/>
                      <w:marRight w:val="0"/>
                      <w:marTop w:val="0"/>
                      <w:marBottom w:val="0"/>
                      <w:divBdr>
                        <w:top w:val="none" w:sz="0" w:space="0" w:color="auto"/>
                        <w:left w:val="none" w:sz="0" w:space="0" w:color="auto"/>
                        <w:bottom w:val="none" w:sz="0" w:space="0" w:color="auto"/>
                        <w:right w:val="none" w:sz="0" w:space="0" w:color="auto"/>
                      </w:divBdr>
                      <w:divsChild>
                        <w:div w:id="784622283">
                          <w:marLeft w:val="0"/>
                          <w:marRight w:val="0"/>
                          <w:marTop w:val="0"/>
                          <w:marBottom w:val="0"/>
                          <w:divBdr>
                            <w:top w:val="none" w:sz="0" w:space="0" w:color="auto"/>
                            <w:left w:val="none" w:sz="0" w:space="0" w:color="auto"/>
                            <w:bottom w:val="none" w:sz="0" w:space="0" w:color="auto"/>
                            <w:right w:val="none" w:sz="0" w:space="0" w:color="auto"/>
                          </w:divBdr>
                          <w:divsChild>
                            <w:div w:id="6635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7832">
          <w:marLeft w:val="0"/>
          <w:marRight w:val="0"/>
          <w:marTop w:val="0"/>
          <w:marBottom w:val="0"/>
          <w:divBdr>
            <w:top w:val="none" w:sz="0" w:space="0" w:color="auto"/>
            <w:left w:val="none" w:sz="0" w:space="0" w:color="auto"/>
            <w:bottom w:val="none" w:sz="0" w:space="0" w:color="auto"/>
            <w:right w:val="none" w:sz="0" w:space="0" w:color="auto"/>
          </w:divBdr>
          <w:divsChild>
            <w:div w:id="13506471">
              <w:marLeft w:val="0"/>
              <w:marRight w:val="0"/>
              <w:marTop w:val="0"/>
              <w:marBottom w:val="300"/>
              <w:divBdr>
                <w:top w:val="none" w:sz="0" w:space="12" w:color="auto"/>
                <w:left w:val="none" w:sz="0" w:space="18" w:color="auto"/>
                <w:bottom w:val="single" w:sz="6" w:space="9" w:color="D0D0D0"/>
                <w:right w:val="none" w:sz="0" w:space="18" w:color="auto"/>
              </w:divBdr>
              <w:divsChild>
                <w:div w:id="2106995634">
                  <w:marLeft w:val="0"/>
                  <w:marRight w:val="0"/>
                  <w:marTop w:val="0"/>
                  <w:marBottom w:val="0"/>
                  <w:divBdr>
                    <w:top w:val="none" w:sz="0" w:space="0" w:color="auto"/>
                    <w:left w:val="none" w:sz="0" w:space="0" w:color="auto"/>
                    <w:bottom w:val="none" w:sz="0" w:space="0" w:color="auto"/>
                    <w:right w:val="none" w:sz="0" w:space="0" w:color="auto"/>
                  </w:divBdr>
                </w:div>
                <w:div w:id="823198497">
                  <w:marLeft w:val="0"/>
                  <w:marRight w:val="0"/>
                  <w:marTop w:val="0"/>
                  <w:marBottom w:val="0"/>
                  <w:divBdr>
                    <w:top w:val="none" w:sz="0" w:space="0" w:color="auto"/>
                    <w:left w:val="none" w:sz="0" w:space="0" w:color="auto"/>
                    <w:bottom w:val="none" w:sz="0" w:space="0" w:color="auto"/>
                    <w:right w:val="none" w:sz="0" w:space="0" w:color="auto"/>
                  </w:divBdr>
                  <w:divsChild>
                    <w:div w:id="337928313">
                      <w:marLeft w:val="0"/>
                      <w:marRight w:val="0"/>
                      <w:marTop w:val="0"/>
                      <w:marBottom w:val="0"/>
                      <w:divBdr>
                        <w:top w:val="none" w:sz="0" w:space="0" w:color="auto"/>
                        <w:left w:val="none" w:sz="0" w:space="0" w:color="auto"/>
                        <w:bottom w:val="none" w:sz="0" w:space="0" w:color="auto"/>
                        <w:right w:val="none" w:sz="0" w:space="0" w:color="auto"/>
                      </w:divBdr>
                      <w:divsChild>
                        <w:div w:id="995378938">
                          <w:marLeft w:val="0"/>
                          <w:marRight w:val="0"/>
                          <w:marTop w:val="0"/>
                          <w:marBottom w:val="0"/>
                          <w:divBdr>
                            <w:top w:val="none" w:sz="0" w:space="0" w:color="auto"/>
                            <w:left w:val="none" w:sz="0" w:space="0" w:color="auto"/>
                            <w:bottom w:val="none" w:sz="0" w:space="0" w:color="auto"/>
                            <w:right w:val="none" w:sz="0" w:space="0" w:color="auto"/>
                          </w:divBdr>
                          <w:divsChild>
                            <w:div w:id="892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3647</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Segeťová Rosová</dc:creator>
  <cp:keywords/>
  <dc:description/>
  <cp:lastModifiedBy>Zuzana Segeťová Rosová</cp:lastModifiedBy>
  <cp:revision>1</cp:revision>
  <dcterms:created xsi:type="dcterms:W3CDTF">2021-05-17T04:52:00Z</dcterms:created>
  <dcterms:modified xsi:type="dcterms:W3CDTF">2021-05-17T04:55:00Z</dcterms:modified>
</cp:coreProperties>
</file>